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Pr="00480DEB">
        <w:rPr>
          <w:rFonts w:ascii="Times New Roman" w:hAnsi="Times New Roman" w:cs="Times New Roman"/>
          <w:sz w:val="20"/>
          <w:szCs w:val="20"/>
          <w:lang w:val="kk-KZ"/>
        </w:rPr>
        <w:t>3</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43A4E71C" w:rsidR="00480DEB" w:rsidRPr="00480DEB" w:rsidRDefault="00862DD3" w:rsidP="00480DEB">
      <w:pPr>
        <w:rPr>
          <w:rFonts w:ascii="Times New Roman" w:hAnsi="Times New Roman" w:cs="Times New Roman"/>
          <w:sz w:val="20"/>
          <w:szCs w:val="20"/>
          <w:lang w:val="kk-KZ"/>
        </w:rPr>
      </w:pPr>
      <w:r>
        <w:rPr>
          <w:rFonts w:ascii="Times New Roman" w:hAnsi="Times New Roman" w:cs="Times New Roman"/>
          <w:sz w:val="20"/>
          <w:szCs w:val="20"/>
          <w:lang w:val="kk-KZ"/>
        </w:rPr>
        <w:t>6В</w:t>
      </w:r>
      <w:r w:rsidR="00480DEB" w:rsidRPr="00480DEB">
        <w:rPr>
          <w:rFonts w:ascii="Times New Roman" w:hAnsi="Times New Roman" w:cs="Times New Roman"/>
          <w:sz w:val="20"/>
          <w:szCs w:val="20"/>
          <w:lang w:val="kk-KZ"/>
        </w:rPr>
        <w:t>0410</w:t>
      </w: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862DD3"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862DD3"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862DD3"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862DD3"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862DD3"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862DD3"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862DD3"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862DD3"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277C3C24"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p>
          <w:p w14:paraId="641C03A6" w14:textId="77777777" w:rsidR="00480DEB" w:rsidRPr="00480DEB" w:rsidRDefault="00480DEB" w:rsidP="009A0A81">
            <w:pPr>
              <w:spacing w:after="0" w:line="240" w:lineRule="auto"/>
              <w:contextualSpacing/>
              <w:rPr>
                <w:kern w:val="2"/>
                <w:sz w:val="22"/>
                <w:szCs w:val="22"/>
                <w:lang w:val="kk-KZ"/>
                <w14:ligatures w14:val="standardContextual"/>
              </w:rPr>
            </w:pPr>
            <w:r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3147BBFF" w:rsidR="00480DEB" w:rsidRPr="00480DEB" w:rsidRDefault="00480DEB" w:rsidP="00480DEB">
            <w:pPr>
              <w:spacing w:after="0" w:line="240" w:lineRule="auto"/>
              <w:rPr>
                <w:rFonts w:ascii="Times New Roman" w:hAnsi="Times New Roman" w:cs="Times New Roman"/>
                <w:sz w:val="20"/>
                <w:szCs w:val="20"/>
                <w:lang w:val="kk-KZ"/>
              </w:rPr>
            </w:pPr>
            <w:proofErr w:type="spellStart"/>
            <w:r w:rsidRPr="00480DEB">
              <w:rPr>
                <w:rFonts w:ascii="Times New Roman" w:hAnsi="Times New Roman" w:cs="Times New Roman"/>
                <w:sz w:val="20"/>
                <w:szCs w:val="20"/>
              </w:rPr>
              <w:t>Аврамчикова</w:t>
            </w:r>
            <w:proofErr w:type="spellEnd"/>
            <w:r w:rsidRPr="00480DEB">
              <w:rPr>
                <w:rFonts w:ascii="Times New Roman" w:hAnsi="Times New Roman" w:cs="Times New Roman"/>
                <w:sz w:val="20"/>
                <w:szCs w:val="20"/>
              </w:rPr>
              <w:t xml:space="preserve"> Н. Т.</w:t>
            </w:r>
            <w:r w:rsidRPr="00480DEB">
              <w:rPr>
                <w:rFonts w:ascii="Times New Roman" w:hAnsi="Times New Roman" w:cs="Times New Roman"/>
                <w:sz w:val="20"/>
                <w:szCs w:val="20"/>
                <w:lang w:val="kk-KZ"/>
              </w:rPr>
              <w:t>, Рожнов И.П.</w:t>
            </w:r>
            <w:r w:rsidRPr="00480DEB">
              <w:rPr>
                <w:rFonts w:ascii="Times New Roman" w:hAnsi="Times New Roman" w:cs="Times New Roman"/>
                <w:sz w:val="20"/>
                <w:szCs w:val="20"/>
              </w:rPr>
              <w:t xml:space="preserve"> Эффективное государственное и муниципальное управление  М</w:t>
            </w:r>
            <w:r w:rsidRPr="00480DEB">
              <w:rPr>
                <w:rFonts w:ascii="Times New Roman" w:hAnsi="Times New Roman" w:cs="Times New Roman"/>
                <w:sz w:val="20"/>
                <w:szCs w:val="20"/>
                <w:lang w:val="kk-KZ"/>
              </w:rPr>
              <w:t>.</w:t>
            </w:r>
            <w:r w:rsidRPr="00480DEB">
              <w:rPr>
                <w:rFonts w:ascii="Times New Roman" w:hAnsi="Times New Roman" w:cs="Times New Roman"/>
                <w:sz w:val="20"/>
                <w:szCs w:val="20"/>
              </w:rPr>
              <w:t xml:space="preserve">: </w:t>
            </w:r>
            <w:proofErr w:type="spellStart"/>
            <w:r w:rsidRPr="00480DEB">
              <w:rPr>
                <w:rFonts w:ascii="Times New Roman" w:hAnsi="Times New Roman" w:cs="Times New Roman"/>
                <w:sz w:val="20"/>
                <w:szCs w:val="20"/>
              </w:rPr>
              <w:t>Юрайт</w:t>
            </w:r>
            <w:proofErr w:type="spellEnd"/>
            <w:r w:rsidRPr="00480DEB">
              <w:rPr>
                <w:rFonts w:ascii="Times New Roman" w:hAnsi="Times New Roman" w:cs="Times New Roman"/>
                <w:sz w:val="20"/>
                <w:szCs w:val="20"/>
              </w:rPr>
              <w:t xml:space="preserve">, 2025. — 167 с.  </w:t>
            </w:r>
          </w:p>
          <w:p w14:paraId="178F7EFE" w14:textId="13340BCA"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kern w:val="2"/>
                <w:sz w:val="20"/>
                <w:szCs w:val="20"/>
                <w:lang w:eastAsia="ru-RU"/>
                <w14:ligatures w14:val="standardContextual"/>
              </w:rPr>
              <w:t>Амирханова</w:t>
            </w:r>
            <w:r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480DEB">
              <w:rPr>
                <w:rFonts w:ascii="Times New Roman" w:eastAsia="Times New Roman" w:hAnsi="Times New Roman" w:cs="Times New Roman"/>
                <w:color w:val="000000"/>
                <w:kern w:val="2"/>
                <w:sz w:val="20"/>
                <w:szCs w:val="20"/>
                <w:lang w:val="kk-KZ" w:eastAsia="ru-RU"/>
                <w14:ligatures w14:val="standardContextual"/>
              </w:rPr>
              <w:t>-</w:t>
            </w:r>
            <w:r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072DAA4"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Васильева В.М., Колеснева Е.А.,  Иншаков И.А.  Государственная политика и управление-М.: Юрайт, 2025.-442 с.</w:t>
            </w:r>
          </w:p>
          <w:p w14:paraId="7B8C2AC2" w14:textId="59A21282"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Глазьев С.Ю., Бодрунов С.Д. Современное государственное управление-М.: Ленанд, 2025.-608 с.</w:t>
            </w:r>
          </w:p>
          <w:p w14:paraId="4B514ACA" w14:textId="7F6BC89F"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60395B93"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137AF770" w:rsidR="00480DEB" w:rsidRPr="00480DEB" w:rsidRDefault="00480DEB"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6AFC7059"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1CAD945A"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07DC9327"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59959309" w:rsidR="00480DEB" w:rsidRPr="00480DEB" w:rsidRDefault="00480DEB"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6FC3BFDA" w:rsidR="00480DEB" w:rsidRPr="00480DEB" w:rsidRDefault="00480DEB" w:rsidP="00480DEB">
            <w:pPr>
              <w:tabs>
                <w:tab w:val="left" w:pos="0"/>
              </w:tabs>
              <w:spacing w:after="0" w:line="240" w:lineRule="auto"/>
              <w:contextualSpacing/>
              <w:rPr>
                <w:rFonts w:ascii="Times New Roman" w:hAnsi="Times New Roman" w:cs="Times New Roman"/>
                <w:sz w:val="20"/>
                <w:szCs w:val="20"/>
                <w:lang w:val="kk-KZ"/>
              </w:rPr>
            </w:pPr>
            <w:r w:rsidRPr="00480DEB">
              <w:rPr>
                <w:rFonts w:ascii="Times New Roman" w:hAnsi="Times New Roman" w:cs="Times New Roman"/>
                <w:color w:val="000000"/>
                <w:sz w:val="20"/>
                <w:szCs w:val="20"/>
                <w:shd w:val="clear" w:color="auto" w:fill="FFFFFF"/>
                <w:lang w:val="kk-KZ"/>
              </w:rPr>
              <w:t>.</w:t>
            </w:r>
            <w:r w:rsidRPr="00480DEB">
              <w:rPr>
                <w:rFonts w:ascii="Times New Roman" w:hAnsi="Times New Roman" w:cs="Times New Roman"/>
                <w:color w:val="000000"/>
                <w:sz w:val="20"/>
                <w:szCs w:val="20"/>
                <w:shd w:val="clear" w:color="auto" w:fill="FFFFFF"/>
              </w:rPr>
              <w:t>Суслов</w:t>
            </w:r>
            <w:r w:rsidRPr="00480DEB">
              <w:rPr>
                <w:rFonts w:ascii="Times New Roman" w:hAnsi="Times New Roman" w:cs="Times New Roman"/>
                <w:color w:val="000000"/>
                <w:sz w:val="20"/>
                <w:szCs w:val="20"/>
                <w:shd w:val="clear" w:color="auto" w:fill="FFFFFF"/>
                <w:lang w:val="kk-KZ"/>
              </w:rPr>
              <w:t>а И.П.</w:t>
            </w:r>
            <w:r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480DEB">
              <w:rPr>
                <w:rFonts w:ascii="Times New Roman" w:eastAsia="Times New Roman" w:hAnsi="Times New Roman" w:cs="Times New Roman"/>
                <w:color w:val="000000"/>
                <w:sz w:val="20"/>
                <w:szCs w:val="20"/>
                <w:lang w:val="kk-KZ" w:eastAsia="ru-RU"/>
              </w:rPr>
              <w:t xml:space="preserve">- </w:t>
            </w:r>
            <w:r w:rsidRPr="00480DEB">
              <w:rPr>
                <w:rFonts w:ascii="Times New Roman" w:eastAsia="Times New Roman" w:hAnsi="Times New Roman" w:cs="Times New Roman"/>
                <w:color w:val="000000"/>
                <w:sz w:val="20"/>
                <w:szCs w:val="20"/>
                <w:lang w:eastAsia="ru-RU"/>
              </w:rPr>
              <w:t xml:space="preserve">М.:  МГУ имени М. В. Ломоносова, 2024. </w:t>
            </w:r>
            <w:r w:rsidRPr="00480DEB">
              <w:rPr>
                <w:rFonts w:ascii="Times New Roman" w:eastAsia="Times New Roman" w:hAnsi="Times New Roman" w:cs="Times New Roman"/>
                <w:color w:val="000000"/>
                <w:sz w:val="20"/>
                <w:szCs w:val="20"/>
                <w:lang w:val="kk-KZ" w:eastAsia="ru-RU"/>
              </w:rPr>
              <w:t>-</w:t>
            </w:r>
            <w:r w:rsidRPr="00480DEB">
              <w:rPr>
                <w:rFonts w:ascii="Times New Roman" w:eastAsia="Times New Roman" w:hAnsi="Times New Roman" w:cs="Times New Roman"/>
                <w:color w:val="000000"/>
                <w:sz w:val="20"/>
                <w:szCs w:val="20"/>
                <w:lang w:eastAsia="ru-RU"/>
              </w:rPr>
              <w:t xml:space="preserve"> </w:t>
            </w:r>
            <w:r w:rsidRPr="00480DEB">
              <w:rPr>
                <w:rFonts w:ascii="Times New Roman" w:eastAsia="Times New Roman" w:hAnsi="Times New Roman" w:cs="Times New Roman"/>
                <w:color w:val="000000"/>
                <w:sz w:val="20"/>
                <w:szCs w:val="20"/>
                <w:lang w:val="kk-KZ" w:eastAsia="ru-RU"/>
              </w:rPr>
              <w:t>92</w:t>
            </w:r>
            <w:r w:rsidRPr="00480DEB">
              <w:rPr>
                <w:rFonts w:ascii="Times New Roman" w:eastAsia="Times New Roman" w:hAnsi="Times New Roman" w:cs="Times New Roman"/>
                <w:color w:val="000000"/>
                <w:sz w:val="20"/>
                <w:szCs w:val="20"/>
                <w:lang w:eastAsia="ru-RU"/>
              </w:rPr>
              <w:t xml:space="preserve"> с.</w:t>
            </w:r>
          </w:p>
          <w:p w14:paraId="294B0577" w14:textId="654D8530"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77777777" w:rsidR="00480DEB" w:rsidRPr="00480DEB" w:rsidRDefault="00480DEB" w:rsidP="00480DEB">
            <w:pPr>
              <w:shd w:val="clear" w:color="auto" w:fill="FFFFFF"/>
              <w:tabs>
                <w:tab w:val="left" w:pos="0"/>
              </w:tabs>
              <w:spacing w:line="240" w:lineRule="auto"/>
              <w:contextualSpacing/>
              <w:rPr>
                <w:rFonts w:ascii="Times New Roman" w:hAnsi="Times New Roman" w:cs="Times New Roman"/>
                <w:sz w:val="20"/>
                <w:szCs w:val="20"/>
                <w:lang w:val="kk-KZ"/>
              </w:rPr>
            </w:pPr>
            <w:r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494EF2A"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67FC7C35"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48D984E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49A861AB"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E8CCB00"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570009BD"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6B8DBA62" w14:textId="771FA23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67F32E6E"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77434E4B" w:rsidR="00480DEB" w:rsidRPr="00480DEB" w:rsidRDefault="00480DEB" w:rsidP="00480DEB">
            <w:pPr>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URL : https://urait.ru/bcode/567981</w:t>
            </w:r>
          </w:p>
          <w:p w14:paraId="4AF44B03" w14:textId="3CD5BE63"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https://urait.ru/bcode/534074</w:t>
            </w:r>
          </w:p>
          <w:p w14:paraId="18EE8A6F" w14:textId="6CD9C6E5"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 https://urait.ru/bcode/567981</w:t>
            </w:r>
          </w:p>
          <w:p w14:paraId="12417DB9" w14:textId="026B30CB"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https://urait.ru/bcode/510647</w:t>
            </w:r>
          </w:p>
          <w:p w14:paraId="7580DAED" w14:textId="4AF43150"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77777777" w:rsidR="00480DEB" w:rsidRPr="00480DEB" w:rsidRDefault="00480DEB" w:rsidP="00480DEB">
            <w:pPr>
              <w:spacing w:after="0" w:line="240" w:lineRule="auto"/>
              <w:rPr>
                <w:rFonts w:ascii="Times New Roman" w:eastAsia="Times New Roman" w:hAnsi="Times New Roman" w:cs="Times New Roman"/>
                <w:sz w:val="20"/>
                <w:szCs w:val="20"/>
                <w:lang w:eastAsia="ru-RU"/>
              </w:rPr>
            </w:pPr>
            <w:proofErr w:type="spellStart"/>
            <w:r w:rsidRPr="00480DEB">
              <w:rPr>
                <w:rFonts w:ascii="Times New Roman" w:eastAsia="Times New Roman" w:hAnsi="Times New Roman" w:cs="Times New Roman"/>
                <w:sz w:val="20"/>
                <w:szCs w:val="20"/>
                <w:lang w:eastAsia="ru-RU"/>
              </w:rPr>
              <w:t>Дәріс</w:t>
            </w:r>
            <w:proofErr w:type="spellEnd"/>
            <w:r w:rsidRPr="00480DEB">
              <w:rPr>
                <w:rFonts w:ascii="Times New Roman" w:eastAsia="Times New Roman" w:hAnsi="Times New Roman" w:cs="Times New Roman"/>
                <w:sz w:val="20"/>
                <w:szCs w:val="20"/>
                <w:lang w:eastAsia="ru-RU"/>
              </w:rPr>
              <w:t xml:space="preserve"> залы - 218 </w:t>
            </w:r>
            <w:proofErr w:type="spellStart"/>
            <w:r w:rsidRPr="00480DEB">
              <w:rPr>
                <w:rFonts w:ascii="Times New Roman" w:eastAsia="Times New Roman" w:hAnsi="Times New Roman" w:cs="Times New Roman"/>
                <w:sz w:val="20"/>
                <w:szCs w:val="20"/>
                <w:lang w:eastAsia="ru-RU"/>
              </w:rPr>
              <w:t>аулитория</w:t>
            </w:r>
            <w:proofErr w:type="spellEnd"/>
          </w:p>
          <w:p w14:paraId="29D9EF45"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F877409" w14:textId="7FF0A2B1" w:rsidR="00480DEB" w:rsidRPr="00480DEB" w:rsidRDefault="00480DEB" w:rsidP="00480DEB">
            <w:pPr>
              <w:tabs>
                <w:tab w:val="left" w:pos="1276"/>
              </w:tabs>
              <w:jc w:val="center"/>
              <w:rPr>
                <w:b/>
                <w:sz w:val="20"/>
                <w:szCs w:val="20"/>
                <w:lang w:val="kk-KZ"/>
              </w:rPr>
            </w:pPr>
          </w:p>
        </w:tc>
      </w:tr>
      <w:tr w:rsidR="00480DEB" w:rsidRPr="00480DEB" w14:paraId="776C5A73"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EAA542E" w14:textId="4D9E5B7C" w:rsidR="00480DEB" w:rsidRPr="00480DEB" w:rsidRDefault="00480DEB" w:rsidP="00480DEB">
            <w:pPr>
              <w:tabs>
                <w:tab w:val="left" w:pos="1276"/>
              </w:tabs>
              <w:jc w:val="center"/>
              <w:rPr>
                <w:sz w:val="20"/>
                <w:szCs w:val="20"/>
                <w:lang w:val="kk-KZ"/>
              </w:rPr>
            </w:pP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3AC9E359" w14:textId="4F287ABD" w:rsidR="00480DEB" w:rsidRPr="00480DEB" w:rsidRDefault="00480DEB" w:rsidP="00480DEB">
            <w:pPr>
              <w:tabs>
                <w:tab w:val="left" w:pos="1276"/>
              </w:tabs>
              <w:jc w:val="center"/>
              <w:rPr>
                <w:sz w:val="20"/>
                <w:szCs w:val="20"/>
                <w:lang w:val="kk-KZ"/>
              </w:rPr>
            </w:pPr>
          </w:p>
        </w:tc>
      </w:tr>
      <w:tr w:rsidR="00480DEB" w:rsidRPr="00480DEB" w14:paraId="669FDE0D"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8C41D2C" w14:textId="5EF98491" w:rsidR="00480DEB" w:rsidRPr="00480DEB" w:rsidRDefault="00480DEB" w:rsidP="00480DEB">
            <w:pPr>
              <w:tabs>
                <w:tab w:val="left" w:pos="1276"/>
              </w:tabs>
              <w:jc w:val="center"/>
              <w:rPr>
                <w:sz w:val="20"/>
                <w:szCs w:val="20"/>
                <w:lang w:val="kk-KZ"/>
              </w:rPr>
            </w:pP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4758C22" w14:textId="255F9BB3" w:rsidR="00480DEB" w:rsidRPr="00480DEB" w:rsidRDefault="00480DEB" w:rsidP="00480DEB">
            <w:pPr>
              <w:tabs>
                <w:tab w:val="left" w:pos="1276"/>
              </w:tabs>
              <w:jc w:val="center"/>
              <w:rPr>
                <w:b/>
                <w:sz w:val="20"/>
                <w:szCs w:val="20"/>
                <w:lang w:val="kk-KZ"/>
              </w:rPr>
            </w:pPr>
          </w:p>
        </w:tc>
      </w:tr>
      <w:tr w:rsidR="00480DEB" w:rsidRPr="00480DEB" w14:paraId="7B07B0CA"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6B035CB0" w14:textId="5FE4E084" w:rsidR="00480DEB" w:rsidRPr="00480DEB" w:rsidRDefault="00480DEB" w:rsidP="00480DEB">
            <w:pPr>
              <w:tabs>
                <w:tab w:val="left" w:pos="1276"/>
              </w:tabs>
              <w:jc w:val="center"/>
              <w:rPr>
                <w:sz w:val="20"/>
                <w:szCs w:val="20"/>
                <w:lang w:val="kk-KZ"/>
              </w:rPr>
            </w:pP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5B6BB056" w14:textId="77777777" w:rsidTr="00A829E5">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lastRenderedPageBreak/>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E17357B" w14:textId="6A861486" w:rsidR="001D2798" w:rsidRPr="00480DEB" w:rsidRDefault="001D2798" w:rsidP="00480DEB">
            <w:pPr>
              <w:tabs>
                <w:tab w:val="left" w:pos="1276"/>
              </w:tabs>
              <w:jc w:val="center"/>
              <w:rPr>
                <w:b/>
                <w:sz w:val="20"/>
                <w:szCs w:val="20"/>
                <w:lang w:val="kk-KZ"/>
              </w:rPr>
            </w:pPr>
          </w:p>
        </w:tc>
      </w:tr>
      <w:tr w:rsidR="001D2798" w:rsidRPr="00480DEB" w14:paraId="08116953" w14:textId="77777777" w:rsidTr="00A829E5">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88E6F6" w14:textId="34CE3A16" w:rsidR="001D2798" w:rsidRPr="00480DEB" w:rsidRDefault="001D2798" w:rsidP="00480DEB">
            <w:pPr>
              <w:tabs>
                <w:tab w:val="left" w:pos="1276"/>
              </w:tabs>
              <w:rPr>
                <w:sz w:val="20"/>
                <w:szCs w:val="20"/>
                <w:lang w:val="kk-KZ"/>
              </w:rPr>
            </w:pP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2266C4AE" w:rsidR="001D2798" w:rsidRPr="00480DEB" w:rsidRDefault="00A829E5" w:rsidP="00480DEB">
            <w:pPr>
              <w:tabs>
                <w:tab w:val="left" w:pos="1276"/>
              </w:tabs>
              <w:jc w:val="center"/>
              <w:rPr>
                <w:b/>
                <w:sz w:val="20"/>
                <w:szCs w:val="20"/>
                <w:lang w:val="kk-KZ"/>
              </w:rPr>
            </w:pPr>
            <w:r>
              <w:rPr>
                <w:b/>
                <w:sz w:val="20"/>
                <w:szCs w:val="20"/>
                <w:lang w:val="kk-KZ"/>
              </w:rPr>
              <w:t>10</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274AD6D6" w:rsidR="001D2798" w:rsidRPr="00480DEB" w:rsidRDefault="00A829E5" w:rsidP="00480DEB">
            <w:pPr>
              <w:tabs>
                <w:tab w:val="left" w:pos="1276"/>
              </w:tabs>
              <w:jc w:val="center"/>
              <w:rPr>
                <w:sz w:val="20"/>
                <w:szCs w:val="20"/>
                <w:lang w:val="kk-KZ"/>
              </w:rPr>
            </w:pPr>
            <w:r>
              <w:rPr>
                <w:sz w:val="20"/>
                <w:szCs w:val="20"/>
                <w:lang w:val="kk-KZ"/>
              </w:rPr>
              <w:t>35</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862DD3"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862DD3"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862DD3"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862DD3"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310FD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893CFE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1E13C0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DE7B" w14:textId="77777777" w:rsidR="00CA6711" w:rsidRDefault="00CA6711" w:rsidP="00397A05">
      <w:pPr>
        <w:spacing w:after="0" w:line="240" w:lineRule="auto"/>
      </w:pPr>
      <w:r>
        <w:separator/>
      </w:r>
    </w:p>
  </w:endnote>
  <w:endnote w:type="continuationSeparator" w:id="0">
    <w:p w14:paraId="12ED89D2" w14:textId="77777777" w:rsidR="00CA6711" w:rsidRDefault="00CA6711"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FDBF" w14:textId="77777777" w:rsidR="00CA6711" w:rsidRDefault="00CA6711" w:rsidP="00397A05">
      <w:pPr>
        <w:spacing w:after="0" w:line="240" w:lineRule="auto"/>
      </w:pPr>
      <w:r>
        <w:separator/>
      </w:r>
    </w:p>
  </w:footnote>
  <w:footnote w:type="continuationSeparator" w:id="0">
    <w:p w14:paraId="79ED2C42" w14:textId="77777777" w:rsidR="00CA6711" w:rsidRDefault="00CA6711"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143E26"/>
    <w:rsid w:val="001632AF"/>
    <w:rsid w:val="001D2798"/>
    <w:rsid w:val="00241887"/>
    <w:rsid w:val="00245980"/>
    <w:rsid w:val="002A2AE2"/>
    <w:rsid w:val="00310446"/>
    <w:rsid w:val="00324B24"/>
    <w:rsid w:val="00397A05"/>
    <w:rsid w:val="003E6D87"/>
    <w:rsid w:val="00480DEB"/>
    <w:rsid w:val="005B7B73"/>
    <w:rsid w:val="006037F4"/>
    <w:rsid w:val="00862DD3"/>
    <w:rsid w:val="00886C75"/>
    <w:rsid w:val="008C150A"/>
    <w:rsid w:val="00933F00"/>
    <w:rsid w:val="00965579"/>
    <w:rsid w:val="00996E45"/>
    <w:rsid w:val="009A0A81"/>
    <w:rsid w:val="00A2625F"/>
    <w:rsid w:val="00A829E5"/>
    <w:rsid w:val="00AE2F99"/>
    <w:rsid w:val="00AF2C7B"/>
    <w:rsid w:val="00B04C7E"/>
    <w:rsid w:val="00BB0134"/>
    <w:rsid w:val="00CA6711"/>
    <w:rsid w:val="00D76479"/>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10</Pages>
  <Words>3550</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15</cp:revision>
  <dcterms:created xsi:type="dcterms:W3CDTF">2025-09-22T12:38:00Z</dcterms:created>
  <dcterms:modified xsi:type="dcterms:W3CDTF">2025-09-25T03:36:00Z</dcterms:modified>
</cp:coreProperties>
</file>